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FOY DAVID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02/24/2010</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02/24/2010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3,150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5"/>
              <w:spacing w:after="0"/>
              <w:rPr>
                <w:sz w:val="20"/>
                <w:szCs w:val="20"/>
                <w:color w:val="auto"/>
              </w:rPr>
            </w:pPr>
            <w:r>
              <w:rPr>
                <w:rFonts w:ascii="Arial" w:cs="Arial" w:eastAsia="Arial" w:hAnsi="Arial"/>
                <w:sz w:val="18"/>
                <w:szCs w:val="18"/>
                <w:color w:val="0000FF"/>
                <w:w w:val="87"/>
              </w:rPr>
              <w:t>12,150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5"/>
              <w:spacing w:after="0"/>
              <w:rPr>
                <w:sz w:val="20"/>
                <w:szCs w:val="20"/>
                <w:color w:val="auto"/>
              </w:rPr>
            </w:pPr>
            <w:r>
              <w:rPr>
                <w:rFonts w:ascii="Arial" w:cs="Arial" w:eastAsia="Arial" w:hAnsi="Arial"/>
                <w:sz w:val="18"/>
                <w:szCs w:val="18"/>
                <w:color w:val="0000FF"/>
                <w:w w:val="88"/>
              </w:rPr>
              <w:t>3,000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35"/>
              <w:spacing w:after="0"/>
              <w:rPr>
                <w:sz w:val="20"/>
                <w:szCs w:val="20"/>
                <w:color w:val="auto"/>
              </w:rPr>
            </w:pPr>
            <w:r>
              <w:rPr>
                <w:rFonts w:ascii="Arial" w:cs="Arial" w:eastAsia="Arial" w:hAnsi="Arial"/>
                <w:sz w:val="35"/>
                <w:szCs w:val="35"/>
                <w:color w:val="0000FF"/>
                <w:w w:val="76"/>
                <w:vertAlign w:val="subscript"/>
              </w:rPr>
              <w:t>26</w:t>
            </w:r>
            <w:r>
              <w:rPr>
                <w:rFonts w:ascii="Arial" w:cs="Arial" w:eastAsia="Arial" w:hAnsi="Arial"/>
                <w:sz w:val="11"/>
                <w:szCs w:val="11"/>
                <w:color w:val="008000"/>
                <w:w w:val="76"/>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24, 2010, the Reporting Person received a restricted share award of 3,150 Common Shares which vest on December 31, 2012.</w:t>
      </w:r>
    </w:p>
    <w:p>
      <w:pPr>
        <w:spacing w:after="0" w:line="41"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March 2, 2009, the date of Reporting Person's last filing, Reporting Person acquired 20 shares of WTM Common Shares in his WTM 401(k) Plan Account. WTM Common Shares are purchased at fair market value on the date of purchase. The information in this report is based on a plan statement dated as of February 22, 2010.</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02/26/2010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David T. Foy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31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2019-12-18T13:38:31Z</dcterms:created>
  <dcterms:modified xsi:type="dcterms:W3CDTF">2019-12-18T13:38:31Z</dcterms:modified>
</cp:coreProperties>
</file>