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653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65340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MORGAN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60"/>
        <w:spacing w:after="0" w:line="286" w:lineRule="auto"/>
        <w:rPr>
          <w:sz w:val="20"/>
          <w:szCs w:val="20"/>
          <w:color w:val="auto"/>
        </w:rPr>
      </w:pPr>
      <w:r>
        <w:rPr>
          <w:rFonts w:ascii="Arial" w:cs="Arial" w:eastAsia="Arial" w:hAnsi="Arial"/>
          <w:sz w:val="17"/>
          <w:szCs w:val="17"/>
          <w:color w:val="0000FF"/>
        </w:rPr>
        <w:t>C/O WHITE MOUNTAINS INSURANCE GROUP, LTD</w:t>
      </w:r>
    </w:p>
    <w:p>
      <w:pPr>
        <w:spacing w:after="0" w:line="1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 SOUTH MAIN STREET</w:t>
      </w:r>
    </w:p>
    <w:p>
      <w:pPr>
        <w:spacing w:after="0" w:line="302"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2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0"/>
        </w:trPr>
        <w:tc>
          <w:tcPr>
            <w:tcW w:w="3980" w:type="dxa"/>
            <w:vAlign w:val="bottom"/>
            <w:gridSpan w:val="4"/>
            <w:vMerge w:val="restart"/>
          </w:tcPr>
          <w:p>
            <w:pPr>
              <w:ind w:left="60"/>
              <w:spacing w:after="0" w:line="21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7"/>
        </w:trPr>
        <w:tc>
          <w:tcPr>
            <w:tcW w:w="6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10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3980" w:type="dxa"/>
            <w:vAlign w:val="bottom"/>
            <w:tcBorders>
              <w:top w:val="single" w:sz="8" w:color="2C2C2C"/>
            </w:tcBorders>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5"/>
                <w:szCs w:val="15"/>
                <w:color w:val="auto"/>
              </w:rPr>
            </w:pPr>
          </w:p>
        </w:tc>
        <w:tc>
          <w:tcPr>
            <w:tcW w:w="2920" w:type="dxa"/>
            <w:vAlign w:val="bottom"/>
            <w:gridSpan w:val="2"/>
          </w:tcPr>
          <w:p>
            <w:pPr>
              <w:ind w:left="120"/>
              <w:spacing w:after="0" w:line="183" w:lineRule="exact"/>
              <w:rPr>
                <w:sz w:val="20"/>
                <w:szCs w:val="20"/>
                <w:color w:val="auto"/>
              </w:rPr>
            </w:pPr>
            <w:r>
              <w:rPr>
                <w:rFonts w:ascii="Arial" w:cs="Arial" w:eastAsia="Arial" w:hAnsi="Arial"/>
                <w:sz w:val="17"/>
                <w:szCs w:val="17"/>
                <w:color w:val="0000FF"/>
              </w:rPr>
              <w:t>President, American Centennial</w:t>
            </w:r>
          </w:p>
        </w:tc>
        <w:tc>
          <w:tcPr>
            <w:tcW w:w="0" w:type="dxa"/>
            <w:vAlign w:val="bottom"/>
          </w:tcPr>
          <w:p>
            <w:pPr>
              <w:spacing w:after="0"/>
              <w:rPr>
                <w:sz w:val="1"/>
                <w:szCs w:val="1"/>
                <w:color w:val="auto"/>
              </w:rPr>
            </w:pPr>
          </w:p>
        </w:tc>
      </w:tr>
      <w:tr>
        <w:trPr>
          <w:trHeight w:val="217"/>
        </w:trPr>
        <w:tc>
          <w:tcPr>
            <w:tcW w:w="1220" w:type="dxa"/>
            <w:vAlign w:val="bottom"/>
            <w:gridSpan w:val="2"/>
          </w:tcPr>
          <w:p>
            <w:pPr>
              <w:ind w:left="60"/>
              <w:spacing w:after="0"/>
              <w:rPr>
                <w:sz w:val="20"/>
                <w:szCs w:val="20"/>
                <w:color w:val="auto"/>
              </w:rPr>
            </w:pPr>
            <w:r>
              <w:rPr>
                <w:rFonts w:ascii="Arial" w:cs="Arial" w:eastAsia="Arial" w:hAnsi="Arial"/>
                <w:sz w:val="17"/>
                <w:szCs w:val="17"/>
                <w:color w:val="0000FF"/>
              </w:rPr>
              <w:t>06/27/2007</w:t>
            </w:r>
          </w:p>
        </w:tc>
        <w:tc>
          <w:tcPr>
            <w:tcW w:w="2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0" w:type="dxa"/>
            <w:vAlign w:val="bottom"/>
            <w:tcBorders>
              <w:bottom w:val="single" w:sz="8" w:color="2C2C2C"/>
            </w:tcBorders>
          </w:tcPr>
          <w:p>
            <w:pPr>
              <w:spacing w:after="0"/>
              <w:rPr>
                <w:sz w:val="21"/>
                <w:szCs w:val="21"/>
                <w:color w:val="auto"/>
              </w:rPr>
            </w:pPr>
          </w:p>
        </w:tc>
        <w:tc>
          <w:tcPr>
            <w:tcW w:w="1160" w:type="dxa"/>
            <w:vAlign w:val="bottom"/>
            <w:tcBorders>
              <w:bottom w:val="single" w:sz="8" w:color="2C2C2C"/>
            </w:tcBorders>
          </w:tcPr>
          <w:p>
            <w:pPr>
              <w:spacing w:after="0"/>
              <w:rPr>
                <w:sz w:val="21"/>
                <w:szCs w:val="21"/>
                <w:color w:val="auto"/>
              </w:rPr>
            </w:pPr>
          </w:p>
        </w:tc>
        <w:tc>
          <w:tcPr>
            <w:tcW w:w="21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3420" w:type="dxa"/>
            <w:vAlign w:val="bottom"/>
            <w:tcBorders>
              <w:bottom w:val="single" w:sz="8" w:color="2C2C2C"/>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27"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54" w:lineRule="exact"/>
        <w:rPr>
          <w:sz w:val="20"/>
          <w:szCs w:val="20"/>
          <w:color w:val="auto"/>
        </w:rPr>
      </w:pPr>
    </w:p>
    <w:p>
      <w:pPr>
        <w:sectPr>
          <w:pgSz w:w="11900" w:h="16838" w:orient="portrait"/>
          <w:cols w:equalWidth="0" w:num="2">
            <w:col w:w="3900" w:space="10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70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30"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tcPr>
          <w:p>
            <w:pPr>
              <w:jc w:val="right"/>
              <w:ind w:right="360"/>
              <w:spacing w:after="0"/>
              <w:rPr>
                <w:sz w:val="20"/>
                <w:szCs w:val="20"/>
                <w:color w:val="auto"/>
              </w:rPr>
            </w:pPr>
            <w:r>
              <w:rPr>
                <w:rFonts w:ascii="Arial" w:cs="Arial" w:eastAsia="Arial" w:hAnsi="Arial"/>
                <w:sz w:val="17"/>
                <w:szCs w:val="17"/>
                <w:color w:val="0000FF"/>
              </w:rPr>
              <w:t>15,199</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ind w:right="320"/>
              <w:spacing w:after="0"/>
              <w:rPr>
                <w:sz w:val="20"/>
                <w:szCs w:val="20"/>
                <w:color w:val="auto"/>
              </w:rPr>
            </w:pPr>
            <w:r>
              <w:rPr>
                <w:rFonts w:ascii="Arial" w:cs="Arial" w:eastAsia="Arial" w:hAnsi="Arial"/>
                <w:sz w:val="17"/>
                <w:szCs w:val="17"/>
                <w:color w:val="0000FF"/>
              </w:rPr>
              <w:t>5,369</w:t>
            </w:r>
            <w:r>
              <w:rPr>
                <w:rFonts w:ascii="Arial" w:cs="Arial" w:eastAsia="Arial" w:hAnsi="Arial"/>
                <w:sz w:val="22"/>
                <w:szCs w:val="22"/>
                <w:color w:val="008000"/>
                <w:vertAlign w:val="superscript"/>
              </w:rPr>
              <w:t>(1)</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6"/>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60" w:type="dxa"/>
            <w:vAlign w:val="bottom"/>
            <w:gridSpan w:val="9"/>
          </w:tcPr>
          <w:p>
            <w:pPr>
              <w:ind w:left="5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960" w:type="dxa"/>
            <w:vAlign w:val="bottom"/>
            <w:vMerge w:val="restart"/>
          </w:tcPr>
          <w:p>
            <w:pPr>
              <w:ind w:left="460"/>
              <w:spacing w:after="0"/>
              <w:rPr>
                <w:sz w:val="20"/>
                <w:szCs w:val="20"/>
                <w:color w:val="auto"/>
              </w:rPr>
            </w:pPr>
            <w:r>
              <w:rPr>
                <w:rFonts w:ascii="Arial" w:cs="Arial" w:eastAsia="Arial" w:hAnsi="Arial"/>
                <w:sz w:val="11"/>
                <w:szCs w:val="11"/>
                <w:color w:val="008000"/>
              </w:rPr>
              <w:t>(2)</w:t>
            </w:r>
          </w:p>
        </w:tc>
        <w:tc>
          <w:tcPr>
            <w:tcW w:w="1080" w:type="dxa"/>
            <w:vAlign w:val="bottom"/>
            <w:vMerge w:val="restart"/>
          </w:tcPr>
          <w:p>
            <w:pPr>
              <w:ind w:left="220"/>
              <w:spacing w:after="0"/>
              <w:rPr>
                <w:sz w:val="20"/>
                <w:szCs w:val="20"/>
                <w:color w:val="auto"/>
              </w:rPr>
            </w:pPr>
            <w:r>
              <w:rPr>
                <w:rFonts w:ascii="Arial" w:cs="Arial" w:eastAsia="Arial" w:hAnsi="Arial"/>
                <w:sz w:val="13"/>
                <w:szCs w:val="13"/>
                <w:color w:val="0000FF"/>
              </w:rPr>
              <w:t>06/27/2007</w:t>
            </w:r>
          </w:p>
        </w:tc>
        <w:tc>
          <w:tcPr>
            <w:tcW w:w="1100" w:type="dxa"/>
            <w:vAlign w:val="bottom"/>
          </w:tcPr>
          <w:p>
            <w:pPr>
              <w:spacing w:after="0"/>
              <w:rPr>
                <w:sz w:val="12"/>
                <w:szCs w:val="12"/>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12"/>
                <w:szCs w:val="12"/>
                <w:color w:val="auto"/>
              </w:rPr>
            </w:pPr>
          </w:p>
        </w:tc>
        <w:tc>
          <w:tcPr>
            <w:tcW w:w="820" w:type="dxa"/>
            <w:vAlign w:val="bottom"/>
            <w:vMerge w:val="restart"/>
          </w:tcPr>
          <w:p>
            <w:pPr>
              <w:ind w:left="80"/>
              <w:spacing w:after="0" w:line="273" w:lineRule="exact"/>
              <w:rPr>
                <w:sz w:val="20"/>
                <w:szCs w:val="20"/>
                <w:color w:val="auto"/>
              </w:rPr>
            </w:pPr>
            <w:r>
              <w:rPr>
                <w:rFonts w:ascii="Arial" w:cs="Arial" w:eastAsia="Arial" w:hAnsi="Arial"/>
                <w:sz w:val="26"/>
                <w:szCs w:val="26"/>
                <w:color w:val="0000FF"/>
                <w:vertAlign w:val="subscript"/>
              </w:rPr>
              <w:t>15</w:t>
            </w:r>
            <w:r>
              <w:rPr>
                <w:rFonts w:ascii="Arial" w:cs="Arial" w:eastAsia="Arial" w:hAnsi="Arial"/>
                <w:sz w:val="11"/>
                <w:szCs w:val="11"/>
                <w:color w:val="008000"/>
              </w:rPr>
              <w:t>(3)</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160"/>
              <w:spacing w:after="0"/>
              <w:rPr>
                <w:sz w:val="20"/>
                <w:szCs w:val="20"/>
                <w:color w:val="auto"/>
              </w:rPr>
            </w:pPr>
            <w:r>
              <w:rPr>
                <w:rFonts w:ascii="Arial" w:cs="Arial" w:eastAsia="Arial" w:hAnsi="Arial"/>
                <w:sz w:val="17"/>
                <w:szCs w:val="17"/>
                <w:color w:val="0000FF"/>
              </w:rPr>
              <w:t>15</w:t>
            </w:r>
          </w:p>
        </w:tc>
        <w:tc>
          <w:tcPr>
            <w:tcW w:w="76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600</w:t>
            </w:r>
            <w:r>
              <w:rPr>
                <w:rFonts w:ascii="Arial" w:cs="Arial" w:eastAsia="Arial" w:hAnsi="Arial"/>
                <w:sz w:val="22"/>
                <w:szCs w:val="22"/>
                <w:color w:val="008000"/>
                <w:vertAlign w:val="superscript"/>
              </w:rPr>
              <w:t>(5)</w:t>
            </w: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4,448</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9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40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Since May 29, 2007, the date of Reporting Person's last filing, Reporting Person acquired 4 shares of WTM Common Shares under the Folksamerica 401(k) Plan. WTM Common Shares are purchased at fair market value on the date of purchase. The information in this report is based on a plan statement dated as of May 31, 2007.</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8" w:lineRule="exact"/>
        <w:rPr>
          <w:rFonts w:ascii="Arial" w:cs="Arial" w:eastAsia="Arial" w:hAnsi="Arial"/>
          <w:sz w:val="13"/>
          <w:szCs w:val="13"/>
          <w:color w:val="008000"/>
        </w:rPr>
      </w:pPr>
    </w:p>
    <w:p>
      <w:pPr>
        <w:ind w:left="40" w:right="18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June 27, 2007, the Reporting Person's deferred compensation account was credited with Phantom Shares equal in value to the ordinary dividend paid on the underlying WTM Common Shares on the dividend date.</w:t>
      </w:r>
    </w:p>
    <w:p>
      <w:pPr>
        <w:spacing w:after="0" w:line="21" w:lineRule="exact"/>
        <w:rPr>
          <w:rFonts w:ascii="Arial" w:cs="Arial" w:eastAsia="Arial" w:hAnsi="Arial"/>
          <w:sz w:val="13"/>
          <w:szCs w:val="13"/>
          <w:color w:val="008000"/>
        </w:rPr>
      </w:pPr>
    </w:p>
    <w:p>
      <w:pPr>
        <w:ind w:left="40" w:right="36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held in Reporting Person's deferred compensation account. As a result of the Reporting Person's previous separation of employment from WTM, the deferred compensation account is payable in cash in five equal installments that commenced in 2005. Final payment is due in 2009.</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Dividends are automatically invested in Phantom Shares at the fair market price of the underlying WTM Common Shares on June 27, 2007, the date the dividends are deemed to be paid.</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520"/>
          </w:cols>
          <w:pgMar w:left="240" w:top="224" w:right="139" w:bottom="1440" w:gutter="0" w:footer="0" w:header="0"/>
          <w:type w:val="continuous"/>
        </w:sectPr>
      </w:pPr>
    </w:p>
    <w:p>
      <w:pPr>
        <w:spacing w:after="0" w:line="146"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Jason R. Lichtenstein,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5080</wp:posOffset>
            </wp:positionV>
            <wp:extent cx="1407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7160" cy="8255"/>
                    </a:xfrm>
                    <a:prstGeom prst="rect">
                      <a:avLst/>
                    </a:prstGeom>
                    <a:noFill/>
                  </pic:spPr>
                </pic:pic>
              </a:graphicData>
            </a:graphic>
          </wp:anchor>
        </w:drawing>
      </w:r>
    </w:p>
    <w:p>
      <w:pPr>
        <w:spacing w:after="0" w:line="25"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506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6095" cy="8255"/>
                    </a:xfrm>
                    <a:prstGeom prst="rect">
                      <a:avLst/>
                    </a:prstGeom>
                    <a:noFill/>
                  </pic:spPr>
                </pic:pic>
              </a:graphicData>
            </a:graphic>
          </wp:anchor>
        </w:drawing>
      </w:r>
    </w:p>
    <w:p>
      <w:pPr>
        <w:spacing w:after="0" w:line="51" w:lineRule="exact"/>
        <w:rPr>
          <w:sz w:val="20"/>
          <w:szCs w:val="20"/>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1400" w:firstLine="6"/>
        <w:spacing w:after="0" w:line="316"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0000FF"/>
        </w:rPr>
        <w:t>06/29/2007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26" w:lineRule="exact"/>
        <w:rPr>
          <w:sz w:val="20"/>
          <w:szCs w:val="20"/>
          <w:color w:val="auto"/>
        </w:rPr>
      </w:pPr>
    </w:p>
    <w:p>
      <w:pPr>
        <w:sectPr>
          <w:pgSz w:w="11900" w:h="16838" w:orient="portrait"/>
          <w:cols w:equalWidth="0" w:num="2">
            <w:col w:w="9080" w:space="60"/>
            <w:col w:w="2380"/>
          </w:cols>
          <w:pgMar w:left="240" w:top="224"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ind w:right="4119"/>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Dennis P. Beaulieu, Secretary, of White Mountains Insurance Group, Ltd., and Jason R. Lichtenstein, Vice President &amp; Assistant General Counsel, and</w:t>
      </w:r>
    </w:p>
    <w:p>
      <w:pPr>
        <w:spacing w:after="0" w:line="1" w:lineRule="exact"/>
        <w:rPr>
          <w:sz w:val="20"/>
          <w:szCs w:val="20"/>
          <w:color w:val="auto"/>
        </w:rPr>
      </w:pPr>
    </w:p>
    <w:p>
      <w:pPr>
        <w:ind w:right="4339"/>
        <w:spacing w:after="0" w:line="247" w:lineRule="auto"/>
        <w:rPr>
          <w:sz w:val="20"/>
          <w:szCs w:val="20"/>
          <w:color w:val="auto"/>
        </w:rPr>
      </w:pPr>
      <w:r>
        <w:rPr>
          <w:rFonts w:ascii="Courier New" w:cs="Courier New" w:eastAsia="Courier New" w:hAnsi="Courier New"/>
          <w:sz w:val="17"/>
          <w:szCs w:val="17"/>
          <w:color w:val="auto"/>
        </w:rPr>
        <w:t>Michael S. Paquette, Vice President, of White Mountains Capital, Inc., signing singly, the undersigned's true and lawful attorney-in-fact to:</w:t>
      </w:r>
    </w:p>
    <w:p>
      <w:pPr>
        <w:spacing w:after="0" w:line="1" w:lineRule="exact"/>
        <w:rPr>
          <w:sz w:val="20"/>
          <w:szCs w:val="20"/>
          <w:color w:val="auto"/>
        </w:rPr>
      </w:pPr>
    </w:p>
    <w:p>
      <w:pPr>
        <w:ind w:right="39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1" w:lineRule="exact"/>
        <w:rPr>
          <w:rFonts w:ascii="Courier New" w:cs="Courier New" w:eastAsia="Courier New" w:hAnsi="Courier New"/>
          <w:sz w:val="17"/>
          <w:szCs w:val="17"/>
          <w:color w:val="auto"/>
        </w:rPr>
      </w:pPr>
    </w:p>
    <w:p>
      <w:pPr>
        <w:ind w:right="38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w:t>
      </w:r>
    </w:p>
    <w:p>
      <w:pPr>
        <w:spacing w:after="0" w:line="5"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1"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3" w:lineRule="exact"/>
        <w:rPr>
          <w:rFonts w:ascii="Courier New" w:cs="Courier New" w:eastAsia="Courier New" w:hAnsi="Courier New"/>
          <w:sz w:val="17"/>
          <w:szCs w:val="17"/>
          <w:color w:val="auto"/>
        </w:rPr>
      </w:pPr>
    </w:p>
    <w:p>
      <w:pPr>
        <w:ind w:right="36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40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7"/>
          <w:szCs w:val="17"/>
          <w:color w:val="auto"/>
        </w:rPr>
      </w:pPr>
    </w:p>
    <w:p>
      <w:pPr>
        <w:ind w:right="495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22nd day of February 2007.</w:t>
      </w:r>
    </w:p>
    <w:p>
      <w:pPr>
        <w:spacing w:after="0" w:line="20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Morgan W. Davis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6534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2019-12-18T13:09:37Z</dcterms:created>
  <dcterms:modified xsi:type="dcterms:W3CDTF">2019-12-18T13:09:37Z</dcterms:modified>
</cp:coreProperties>
</file>