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12/31/2012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7"/>
              </w:rPr>
              <w:t>813</w:t>
            </w:r>
            <w:r>
              <w:rPr>
                <w:rFonts w:ascii="Arial" w:cs="Arial" w:eastAsia="Arial" w:hAnsi="Arial"/>
                <w:sz w:val="22"/>
                <w:szCs w:val="22"/>
                <w:color w:val="008000"/>
                <w:w w:val="87"/>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512.26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8"/>
              </w:rPr>
              <w:t>2,987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5,300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61</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payment of tax liability incident to the vesting of restricted shares by withholding of securities.</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6 WTM Common Shares in Reporting Person's Company 401(k) account since his last filed report. WTM Common Shares are purchased at fair market value on the date of purchase. The information in this report is based on a plan statement dated as of December 31,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2019-12-18T12:49:29Z</dcterms:created>
  <dcterms:modified xsi:type="dcterms:W3CDTF">2019-12-18T12:49:29Z</dcterms:modified>
</cp:coreProperties>
</file>