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6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66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12/08/2009</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10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80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12/08/2009</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81"/>
              <w:spacing w:after="0" w:line="318" w:lineRule="exact"/>
              <w:rPr>
                <w:sz w:val="20"/>
                <w:szCs w:val="20"/>
                <w:color w:val="auto"/>
              </w:rPr>
            </w:pPr>
            <w:r>
              <w:rPr>
                <w:rFonts w:ascii="Arial" w:cs="Arial" w:eastAsia="Arial" w:hAnsi="Arial"/>
                <w:sz w:val="34"/>
                <w:szCs w:val="34"/>
                <w:color w:val="0000FF"/>
                <w:vertAlign w:val="subscript"/>
              </w:rPr>
              <w:t>100</w:t>
            </w:r>
            <w:r>
              <w:rPr>
                <w:rFonts w:ascii="Arial" w:cs="Arial" w:eastAsia="Arial" w:hAnsi="Arial"/>
                <w:sz w:val="11"/>
                <w:szCs w:val="11"/>
                <w:color w:val="008000"/>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314.88</w:t>
            </w:r>
          </w:p>
        </w:tc>
        <w:tc>
          <w:tcPr>
            <w:tcW w:w="114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200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ind w:left="460"/>
              <w:spacing w:after="0"/>
              <w:rPr>
                <w:sz w:val="20"/>
                <w:szCs w:val="20"/>
                <w:color w:val="auto"/>
              </w:rPr>
            </w:pPr>
            <w:r>
              <w:rPr>
                <w:rFonts w:ascii="Arial" w:cs="Arial" w:eastAsia="Arial" w:hAnsi="Arial"/>
                <w:sz w:val="17"/>
                <w:szCs w:val="17"/>
                <w:color w:val="0000FF"/>
              </w:rPr>
              <w:t>300</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1000" w:type="dxa"/>
            <w:vAlign w:val="bottom"/>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ind w:left="460"/>
              <w:spacing w:after="0"/>
              <w:rPr>
                <w:sz w:val="20"/>
                <w:szCs w:val="20"/>
                <w:color w:val="auto"/>
              </w:rPr>
            </w:pPr>
            <w:r>
              <w:rPr>
                <w:rFonts w:ascii="Arial" w:cs="Arial" w:eastAsia="Arial" w:hAnsi="Arial"/>
                <w:sz w:val="17"/>
                <w:szCs w:val="17"/>
                <w:color w:val="0000FF"/>
              </w:rPr>
              <w:t>300</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1000" w:type="dxa"/>
            <w:vAlign w:val="bottom"/>
          </w:tcPr>
          <w:p>
            <w:pPr>
              <w:ind w:left="8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0000FF"/>
              </w:rPr>
              <w:t>Phantom</w:t>
            </w: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0000FF"/>
              </w:rPr>
              <w:t>Shares</w:t>
            </w:r>
          </w:p>
        </w:tc>
        <w:tc>
          <w:tcPr>
            <w:tcW w:w="2700" w:type="dxa"/>
            <w:vAlign w:val="bottom"/>
            <w:vMerge w:val="restart"/>
          </w:tcPr>
          <w:p>
            <w:pPr>
              <w:jc w:val="right"/>
              <w:ind w:right="2165"/>
              <w:spacing w:after="0"/>
              <w:rPr>
                <w:sz w:val="20"/>
                <w:szCs w:val="20"/>
                <w:color w:val="auto"/>
              </w:rPr>
            </w:pPr>
            <w:r>
              <w:rPr>
                <w:rFonts w:ascii="Arial" w:cs="Arial" w:eastAsia="Arial" w:hAnsi="Arial"/>
                <w:sz w:val="11"/>
                <w:szCs w:val="11"/>
                <w:color w:val="008000"/>
              </w:rPr>
              <w:t>(3)</w:t>
            </w:r>
          </w:p>
        </w:tc>
        <w:tc>
          <w:tcPr>
            <w:tcW w:w="2680" w:type="dxa"/>
            <w:vAlign w:val="bottom"/>
            <w:vMerge w:val="restart"/>
          </w:tcPr>
          <w:p>
            <w:pPr>
              <w:jc w:val="right"/>
              <w:ind w:right="265"/>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5"/>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1020" w:type="dxa"/>
            <w:vAlign w:val="bottom"/>
            <w:vMerge w:val="restart"/>
          </w:tcPr>
          <w:p>
            <w:pPr>
              <w:jc w:val="right"/>
              <w:ind w:right="554"/>
              <w:spacing w:after="0"/>
              <w:rPr>
                <w:sz w:val="20"/>
                <w:szCs w:val="20"/>
                <w:color w:val="auto"/>
              </w:rPr>
            </w:pPr>
            <w:r>
              <w:rPr>
                <w:rFonts w:ascii="Arial" w:cs="Arial" w:eastAsia="Arial" w:hAnsi="Arial"/>
                <w:sz w:val="17"/>
                <w:szCs w:val="17"/>
                <w:color w:val="0000FF"/>
              </w:rPr>
              <w:t>203</w:t>
            </w:r>
          </w:p>
        </w:tc>
        <w:tc>
          <w:tcPr>
            <w:tcW w:w="1180" w:type="dxa"/>
            <w:vAlign w:val="bottom"/>
            <w:vMerge w:val="restart"/>
          </w:tcPr>
          <w:p>
            <w:pPr>
              <w:jc w:val="right"/>
              <w:ind w:right="294"/>
              <w:spacing w:after="0"/>
              <w:rPr>
                <w:sz w:val="20"/>
                <w:szCs w:val="20"/>
                <w:color w:val="auto"/>
              </w:rPr>
            </w:pPr>
            <w:r>
              <w:rPr>
                <w:rFonts w:ascii="Arial" w:cs="Arial" w:eastAsia="Arial" w:hAnsi="Arial"/>
                <w:sz w:val="13"/>
                <w:szCs w:val="13"/>
                <w:color w:val="0000FF"/>
              </w:rPr>
              <w:t>203</w:t>
            </w:r>
          </w:p>
        </w:tc>
        <w:tc>
          <w:tcPr>
            <w:tcW w:w="440" w:type="dxa"/>
            <w:vAlign w:val="bottom"/>
            <w:vMerge w:val="restart"/>
          </w:tcPr>
          <w:p>
            <w:pPr>
              <w:ind w:left="36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14"/>
        </w:trPr>
        <w:tc>
          <w:tcPr>
            <w:tcW w:w="880" w:type="dxa"/>
            <w:vAlign w:val="bottom"/>
            <w:vMerge w:val="restart"/>
          </w:tcPr>
          <w:p>
            <w:pPr>
              <w:spacing w:after="0"/>
              <w:rPr>
                <w:sz w:val="20"/>
                <w:szCs w:val="20"/>
                <w:color w:val="auto"/>
              </w:rPr>
            </w:pPr>
            <w:r>
              <w:rPr>
                <w:rFonts w:ascii="Arial" w:cs="Arial" w:eastAsia="Arial" w:hAnsi="Arial"/>
                <w:sz w:val="13"/>
                <w:szCs w:val="13"/>
                <w:color w:val="0000FF"/>
              </w:rPr>
              <w:t>(Deferred</w:t>
            </w:r>
          </w:p>
        </w:tc>
        <w:tc>
          <w:tcPr>
            <w:tcW w:w="27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vMerge w:val="restart"/>
          </w:tcPr>
          <w:p>
            <w:pPr>
              <w:jc w:val="center"/>
              <w:ind w:left="14"/>
              <w:spacing w:after="0"/>
              <w:rPr>
                <w:sz w:val="20"/>
                <w:szCs w:val="20"/>
                <w:color w:val="auto"/>
              </w:rPr>
            </w:pPr>
            <w:r>
              <w:rPr>
                <w:rFonts w:ascii="Arial" w:cs="Arial" w:eastAsia="Arial" w:hAnsi="Arial"/>
                <w:sz w:val="13"/>
                <w:szCs w:val="13"/>
                <w:color w:val="0000FF"/>
                <w:w w:val="87"/>
              </w:rPr>
              <w:t>Shares</w:t>
            </w: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12/09/2009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2019-12-18T13:43:29Z</dcterms:created>
  <dcterms:modified xsi:type="dcterms:W3CDTF">2019-12-18T13:43:29Z</dcterms:modified>
</cp:coreProperties>
</file>