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05/25/2016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05/25/2016</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435</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6,241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19"/>
          </w:tcPr>
          <w:p>
            <w:pPr>
              <w:ind w:left="20"/>
              <w:spacing w:after="0"/>
              <w:rPr>
                <w:sz w:val="20"/>
                <w:szCs w:val="20"/>
                <w:color w:val="auto"/>
              </w:rPr>
            </w:pPr>
            <w:r>
              <w:rPr>
                <w:rFonts w:ascii="Arial" w:cs="Arial" w:eastAsia="Arial" w:hAnsi="Arial"/>
                <w:sz w:val="14"/>
                <w:szCs w:val="14"/>
                <w:color w:val="008000"/>
                <w:w w:val="91"/>
              </w:rPr>
              <w:t>1. Includes Annual Director Share Award (250) and Committee Retainer Fees elected by the Reporting Person to be taken in WTM Common Shares (185).</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05/27/2016</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2019-12-24T09:13:53Z</dcterms:created>
  <dcterms:modified xsi:type="dcterms:W3CDTF">2019-12-24T09:13:53Z</dcterms:modified>
</cp:coreProperties>
</file>