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Managing Dir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460" w:type="dxa"/>
            <w:vAlign w:val="bottom"/>
          </w:tcPr>
          <w:p>
            <w:pPr>
              <w:spacing w:after="0"/>
              <w:rPr>
                <w:sz w:val="16"/>
                <w:szCs w:val="16"/>
                <w:color w:val="auto"/>
              </w:rPr>
            </w:pPr>
          </w:p>
        </w:tc>
        <w:tc>
          <w:tcPr>
            <w:tcW w:w="2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02/26/2014</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7"/>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80" w:type="dxa"/>
            <w:vAlign w:val="bottom"/>
            <w:gridSpan w:val="12"/>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jc w:val="right"/>
              <w:ind w:righ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02/26/2014</w:t>
            </w: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w w:val="82"/>
              </w:rPr>
              <w:t>2,125</w:t>
            </w:r>
            <w:r>
              <w:rPr>
                <w:rFonts w:ascii="Arial" w:cs="Arial" w:eastAsia="Arial" w:hAnsi="Arial"/>
                <w:sz w:val="22"/>
                <w:szCs w:val="22"/>
                <w:color w:val="008000"/>
                <w:w w:val="82"/>
                <w:vertAlign w:val="superscript"/>
              </w:rPr>
              <w:t>(1)</w:t>
            </w:r>
          </w:p>
        </w:tc>
        <w:tc>
          <w:tcPr>
            <w:tcW w:w="4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w w:val="82"/>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40" w:type="dxa"/>
            <w:vAlign w:val="bottom"/>
            <w:tcBorders>
              <w:bottom w:val="single" w:sz="8" w:color="2C2C2C"/>
            </w:tcBorders>
            <w:gridSpan w:val="5"/>
          </w:tcPr>
          <w:p>
            <w:pPr>
              <w:jc w:val="center"/>
              <w:ind w:left="70"/>
              <w:spacing w:after="0"/>
              <w:rPr>
                <w:sz w:val="20"/>
                <w:szCs w:val="20"/>
                <w:color w:val="auto"/>
              </w:rPr>
            </w:pPr>
            <w:r>
              <w:rPr>
                <w:rFonts w:ascii="Arial" w:cs="Arial" w:eastAsia="Arial" w:hAnsi="Arial"/>
                <w:sz w:val="18"/>
                <w:szCs w:val="18"/>
                <w:color w:val="0000FF"/>
                <w:w w:val="84"/>
              </w:rPr>
              <w:t>6,875</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gridSpan w:val="5"/>
          </w:tcPr>
          <w:p>
            <w:pPr>
              <w:jc w:val="center"/>
              <w:ind w:left="70"/>
              <w:spacing w:after="0"/>
              <w:rPr>
                <w:sz w:val="20"/>
                <w:szCs w:val="20"/>
                <w:color w:val="auto"/>
              </w:rPr>
            </w:pPr>
            <w:r>
              <w:rPr>
                <w:rFonts w:ascii="Arial" w:cs="Arial" w:eastAsia="Arial" w:hAnsi="Arial"/>
                <w:sz w:val="18"/>
                <w:szCs w:val="18"/>
                <w:color w:val="0000FF"/>
                <w:w w:val="90"/>
              </w:rPr>
              <w:t>12,020</w:t>
            </w:r>
          </w:p>
        </w:tc>
        <w:tc>
          <w:tcPr>
            <w:tcW w:w="320" w:type="dxa"/>
            <w:vAlign w:val="bottom"/>
          </w:tcPr>
          <w:p>
            <w:pPr>
              <w:spacing w:after="0"/>
              <w:rPr>
                <w:sz w:val="23"/>
                <w:szCs w:val="23"/>
                <w:color w:val="auto"/>
              </w:rPr>
            </w:pPr>
          </w:p>
        </w:tc>
        <w:tc>
          <w:tcPr>
            <w:tcW w:w="620" w:type="dxa"/>
            <w:vAlign w:val="bottom"/>
          </w:tcPr>
          <w:p>
            <w:pPr>
              <w:jc w:val="center"/>
              <w:ind w:right="332"/>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vMerge w:val="restart"/>
          </w:tcPr>
          <w:p>
            <w:pPr>
              <w:jc w:val="center"/>
              <w:spacing w:after="0"/>
              <w:rPr>
                <w:sz w:val="20"/>
                <w:szCs w:val="20"/>
                <w:color w:val="auto"/>
              </w:rPr>
            </w:pPr>
            <w:r>
              <w:rPr>
                <w:rFonts w:ascii="Arial" w:cs="Arial" w:eastAsia="Arial" w:hAnsi="Arial"/>
                <w:sz w:val="18"/>
                <w:szCs w:val="18"/>
                <w:color w:val="0000FF"/>
                <w:w w:val="99"/>
              </w:rPr>
              <w:t>5</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vMerge w:val="restart"/>
          </w:tcPr>
          <w:p>
            <w:pPr>
              <w:jc w:val="center"/>
              <w:ind w:right="312"/>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3"/>
              </w:rPr>
              <w:t>dependent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0000FF"/>
                <w:w w:val="86"/>
              </w:rPr>
              <w:t>524</w:t>
            </w: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jc w:val="center"/>
              <w:ind w:right="312"/>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jc w:val="right"/>
              <w:ind w:right="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6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gridSpan w:val="13"/>
          </w:tcPr>
          <w:p>
            <w:pPr>
              <w:ind w:left="20"/>
              <w:spacing w:after="0"/>
              <w:rPr>
                <w:sz w:val="20"/>
                <w:szCs w:val="20"/>
                <w:color w:val="auto"/>
              </w:rPr>
            </w:pPr>
            <w:r>
              <w:rPr>
                <w:rFonts w:ascii="Arial" w:cs="Arial" w:eastAsia="Arial" w:hAnsi="Arial"/>
                <w:sz w:val="14"/>
                <w:szCs w:val="14"/>
                <w:color w:val="008000"/>
                <w:w w:val="88"/>
              </w:rPr>
              <w:t>1. On February 26, 2014, the Reporting Person received a restricted share award of 2,125 Common Shares, which vests on January 1, 2017.</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gridSpan w:val="9"/>
          </w:tcPr>
          <w:p>
            <w:pPr>
              <w:spacing w:after="0"/>
              <w:rPr>
                <w:sz w:val="20"/>
                <w:szCs w:val="20"/>
                <w:color w:val="auto"/>
              </w:rPr>
            </w:pPr>
            <w:r>
              <w:rPr>
                <w:rFonts w:ascii="Arial" w:cs="Arial" w:eastAsia="Arial" w:hAnsi="Arial"/>
                <w:sz w:val="18"/>
                <w:szCs w:val="18"/>
                <w:color w:val="0000FF"/>
                <w:w w:val="97"/>
              </w:rPr>
              <w:t>Jason R. Lichtenstein, by</w:t>
            </w:r>
          </w:p>
        </w:tc>
        <w:tc>
          <w:tcPr>
            <w:tcW w:w="174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02/28/2014</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20" w:type="dxa"/>
            <w:vAlign w:val="bottom"/>
            <w:tcBorders>
              <w:top w:val="single" w:sz="8" w:color="auto"/>
            </w:tcBorders>
            <w:gridSpan w:val="5"/>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20" w:type="dxa"/>
            <w:vAlign w:val="bottom"/>
            <w:tcBorders>
              <w:top w:val="single" w:sz="8" w:color="auto"/>
              <w:bottom w:val="single" w:sz="8" w:color="auto"/>
            </w:tcBorders>
            <w:gridSpan w:val="5"/>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80" w:type="dxa"/>
            <w:vAlign w:val="bottom"/>
            <w:gridSpan w:val="9"/>
          </w:tcPr>
          <w:p>
            <w:pPr>
              <w:spacing w:after="0"/>
              <w:rPr>
                <w:sz w:val="20"/>
                <w:szCs w:val="20"/>
                <w:color w:val="auto"/>
              </w:rPr>
            </w:pPr>
            <w:r>
              <w:rPr>
                <w:rFonts w:ascii="Arial" w:cs="Arial" w:eastAsia="Arial" w:hAnsi="Arial"/>
                <w:sz w:val="14"/>
                <w:szCs w:val="14"/>
                <w:color w:val="auto"/>
                <w:w w:val="96"/>
              </w:rPr>
              <w:t>** Signature of Reporting Person</w:t>
            </w:r>
          </w:p>
        </w:tc>
        <w:tc>
          <w:tcPr>
            <w:tcW w:w="80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9"/>
          </w:tcPr>
          <w:p>
            <w:pPr>
              <w:ind w:left="20"/>
              <w:spacing w:after="0"/>
              <w:rPr>
                <w:sz w:val="20"/>
                <w:szCs w:val="20"/>
                <w:color w:val="auto"/>
              </w:rPr>
            </w:pPr>
            <w:r>
              <w:rPr>
                <w:rFonts w:ascii="Arial" w:cs="Arial" w:eastAsia="Arial" w:hAnsi="Arial"/>
                <w:sz w:val="14"/>
                <w:szCs w:val="14"/>
                <w:color w:val="auto"/>
                <w:w w:val="98"/>
              </w:rPr>
              <w:t>Reminder: Report on a separate line for each class of securities beneficially owned directly or indirectly.</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2019-12-18T13:35:00Z</dcterms:created>
  <dcterms:modified xsi:type="dcterms:W3CDTF">2019-12-18T13:35:00Z</dcterms:modified>
</cp:coreProperties>
</file>