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318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1876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SMITH LOWNDES ANDREW</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line="290" w:lineRule="auto"/>
        <w:rPr>
          <w:sz w:val="20"/>
          <w:szCs w:val="20"/>
          <w:color w:val="auto"/>
        </w:rPr>
      </w:pPr>
      <w:r>
        <w:rPr>
          <w:rFonts w:ascii="Arial" w:cs="Arial" w:eastAsia="Arial" w:hAnsi="Arial"/>
          <w:sz w:val="17"/>
          <w:szCs w:val="17"/>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49"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000FF"/>
        </w:rPr>
        <w:t>05/24/2007</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0"/>
        <w:spacing w:after="0"/>
        <w:tabs>
          <w:tab w:leader="none" w:pos="529" w:val="left"/>
          <w:tab w:leader="none" w:pos="214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0"/>
          <w:szCs w:val="20"/>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0"/>
        <w:spacing w:after="0"/>
        <w:tabs>
          <w:tab w:leader="none" w:pos="214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5" w:lineRule="exact"/>
        <w:rPr>
          <w:sz w:val="20"/>
          <w:szCs w:val="20"/>
          <w:color w:val="auto"/>
        </w:rPr>
      </w:pPr>
    </w:p>
    <w:p>
      <w:pPr>
        <w:sectPr>
          <w:pgSz w:w="11900" w:h="16838" w:orient="portrait"/>
          <w:cols w:equalWidth="0" w:num="3">
            <w:col w:w="3760" w:space="300"/>
            <w:col w:w="3280" w:space="710"/>
            <w:col w:w="3470"/>
          </w:cols>
          <w:pgMar w:left="240" w:top="224" w:right="13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80 SOUTH MAIN STREET</w:t>
      </w:r>
    </w:p>
    <w:p>
      <w:pPr>
        <w:spacing w:after="0" w:line="303" w:lineRule="exact"/>
        <w:rPr>
          <w:sz w:val="20"/>
          <w:szCs w:val="20"/>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509" w:lineRule="exact"/>
        <w:rPr>
          <w:sz w:val="20"/>
          <w:szCs w:val="20"/>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60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96"/>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tcPr>
          <w:p>
            <w:pPr>
              <w:ind w:left="520"/>
              <w:spacing w:after="0"/>
              <w:rPr>
                <w:sz w:val="20"/>
                <w:szCs w:val="20"/>
                <w:color w:val="auto"/>
              </w:rPr>
            </w:pPr>
            <w:r>
              <w:rPr>
                <w:rFonts w:ascii="Arial" w:cs="Arial" w:eastAsia="Arial" w:hAnsi="Arial"/>
                <w:sz w:val="17"/>
                <w:szCs w:val="17"/>
                <w:color w:val="0000FF"/>
              </w:rPr>
              <w:t>1,000</w:t>
            </w:r>
          </w:p>
        </w:tc>
        <w:tc>
          <w:tcPr>
            <w:tcW w:w="32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40" w:type="dxa"/>
            <w:vAlign w:val="bottom"/>
            <w:tcBorders>
              <w:bottom w:val="single" w:sz="8" w:color="2C2C2C"/>
            </w:tcBorders>
            <w:gridSpan w:val="6"/>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05/24/2007</w:t>
            </w:r>
          </w:p>
        </w:tc>
        <w:tc>
          <w:tcPr>
            <w:tcW w:w="1120" w:type="dxa"/>
            <w:vAlign w:val="bottom"/>
          </w:tcPr>
          <w:p>
            <w:pPr>
              <w:spacing w:after="0"/>
              <w:rPr>
                <w:sz w:val="12"/>
                <w:szCs w:val="12"/>
                <w:color w:val="auto"/>
              </w:rPr>
            </w:pPr>
          </w:p>
        </w:tc>
        <w:tc>
          <w:tcPr>
            <w:tcW w:w="4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340" w:type="dxa"/>
            <w:vAlign w:val="bottom"/>
          </w:tcPr>
          <w:p>
            <w:pPr>
              <w:spacing w:after="0"/>
              <w:rPr>
                <w:sz w:val="12"/>
                <w:szCs w:val="12"/>
                <w:color w:val="auto"/>
              </w:rPr>
            </w:pPr>
          </w:p>
        </w:tc>
        <w:tc>
          <w:tcPr>
            <w:tcW w:w="780" w:type="dxa"/>
            <w:vAlign w:val="bottom"/>
            <w:vMerge w:val="restart"/>
          </w:tcPr>
          <w:p>
            <w:pPr>
              <w:ind w:left="100"/>
              <w:spacing w:after="0"/>
              <w:rPr>
                <w:sz w:val="20"/>
                <w:szCs w:val="20"/>
                <w:color w:val="auto"/>
              </w:rPr>
            </w:pPr>
            <w:r>
              <w:rPr>
                <w:rFonts w:ascii="Arial" w:cs="Arial" w:eastAsia="Arial" w:hAnsi="Arial"/>
                <w:sz w:val="13"/>
                <w:szCs w:val="13"/>
                <w:color w:val="0000FF"/>
              </w:rPr>
              <w:t>100</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96"/>
              <w:spacing w:after="0"/>
              <w:rPr>
                <w:sz w:val="20"/>
                <w:szCs w:val="20"/>
                <w:color w:val="auto"/>
              </w:rPr>
            </w:pPr>
            <w:r>
              <w:rPr>
                <w:rFonts w:ascii="Arial" w:cs="Arial" w:eastAsia="Arial" w:hAnsi="Arial"/>
                <w:sz w:val="17"/>
                <w:szCs w:val="17"/>
                <w:color w:val="0000FF"/>
              </w:rPr>
              <w:t>100</w:t>
            </w:r>
          </w:p>
        </w:tc>
        <w:tc>
          <w:tcPr>
            <w:tcW w:w="78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ind w:left="320"/>
              <w:spacing w:after="0"/>
              <w:rPr>
                <w:sz w:val="20"/>
                <w:szCs w:val="20"/>
                <w:color w:val="auto"/>
              </w:rPr>
            </w:pPr>
            <w:r>
              <w:rPr>
                <w:rFonts w:ascii="Arial" w:cs="Arial" w:eastAsia="Arial" w:hAnsi="Arial"/>
                <w:sz w:val="13"/>
                <w:szCs w:val="13"/>
                <w:color w:val="0000FF"/>
              </w:rPr>
              <w:t>100</w:t>
            </w:r>
          </w:p>
        </w:tc>
        <w:tc>
          <w:tcPr>
            <w:tcW w:w="3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40" w:right="62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Phantom Shares are held in the Reporting Person's WTM deferred compensation account and are payable in cash upon the earlier of the date when the Reporting Person ceases to be a director of the Company or a date certain selected by the Reporting Person.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9" w:lineRule="auto"/>
        <w:rPr>
          <w:sz w:val="20"/>
          <w:szCs w:val="20"/>
          <w:color w:val="auto"/>
        </w:rPr>
      </w:pPr>
      <w:r>
        <w:rPr>
          <w:rFonts w:ascii="Arial" w:cs="Arial" w:eastAsia="Arial" w:hAnsi="Arial"/>
          <w:sz w:val="17"/>
          <w:szCs w:val="17"/>
          <w:color w:val="0000FF"/>
        </w:rPr>
        <w:t xml:space="preserve">Jason R. Lichtenstein, by Power </w:t>
      </w:r>
      <w:r>
        <w:rPr>
          <w:rFonts w:ascii="Arial" w:cs="Arial" w:eastAsia="Arial" w:hAnsi="Arial"/>
          <w:sz w:val="34"/>
          <w:szCs w:val="34"/>
          <w:color w:val="0000FF"/>
          <w:vertAlign w:val="subscript"/>
        </w:rPr>
        <w:t>05/29/2007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508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319"/>
        <w:spacing w:after="0" w:line="248" w:lineRule="auto"/>
        <w:rPr>
          <w:sz w:val="20"/>
          <w:szCs w:val="20"/>
          <w:color w:val="auto"/>
        </w:rPr>
      </w:pPr>
      <w:r>
        <w:rPr>
          <w:rFonts w:ascii="Courier New" w:cs="Courier New" w:eastAsia="Courier New" w:hAnsi="Courier New"/>
          <w:sz w:val="17"/>
          <w:szCs w:val="17"/>
          <w:color w:val="auto"/>
        </w:rPr>
        <w:t>Michael S. Paquette, Vice President, of White Mountains Capital, Inc., signing singly, the undersigned's true and lawful attorney-in-fact to:</w:t>
      </w:r>
    </w:p>
    <w:p>
      <w:pPr>
        <w:ind w:right="3899" w:firstLine="6"/>
        <w:spacing w:after="0" w:line="248" w:lineRule="auto"/>
        <w:tabs>
          <w:tab w:leader="none" w:pos="4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22nd day of February 2007.</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Lowndes A. Smith</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030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2019-12-18T13:18:05Z</dcterms:created>
  <dcterms:modified xsi:type="dcterms:W3CDTF">2019-12-18T13:18:05Z</dcterms:modified>
</cp:coreProperties>
</file>