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FOY DAVID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02/23/2011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02/23/2011</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4,250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7,400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gridSpan w:val="5"/>
          </w:tcPr>
          <w:p>
            <w:pPr>
              <w:jc w:val="center"/>
              <w:ind w:left="154"/>
              <w:spacing w:after="0"/>
              <w:rPr>
                <w:sz w:val="20"/>
                <w:szCs w:val="20"/>
                <w:color w:val="auto"/>
              </w:rPr>
            </w:pPr>
            <w:r>
              <w:rPr>
                <w:rFonts w:ascii="Arial" w:cs="Arial" w:eastAsia="Arial" w:hAnsi="Arial"/>
                <w:sz w:val="18"/>
                <w:szCs w:val="18"/>
                <w:color w:val="0000FF"/>
                <w:w w:val="87"/>
              </w:rPr>
              <w:t>10,000</w:t>
            </w:r>
          </w:p>
        </w:tc>
        <w:tc>
          <w:tcPr>
            <w:tcW w:w="240" w:type="dxa"/>
            <w:vAlign w:val="bottom"/>
          </w:tcPr>
          <w:p>
            <w:pPr>
              <w:spacing w:after="0"/>
              <w:rPr>
                <w:sz w:val="23"/>
                <w:szCs w:val="23"/>
                <w:color w:val="auto"/>
              </w:rPr>
            </w:pPr>
          </w:p>
        </w:tc>
        <w:tc>
          <w:tcPr>
            <w:tcW w:w="680" w:type="dxa"/>
            <w:vAlign w:val="bottom"/>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center"/>
              <w:ind w:left="32"/>
              <w:spacing w:after="0"/>
              <w:rPr>
                <w:sz w:val="20"/>
                <w:szCs w:val="20"/>
                <w:color w:val="auto"/>
              </w:rPr>
            </w:pPr>
            <w:r>
              <w:rPr>
                <w:rFonts w:ascii="Arial" w:cs="Arial" w:eastAsia="Arial" w:hAnsi="Arial"/>
                <w:sz w:val="18"/>
                <w:szCs w:val="18"/>
                <w:color w:val="0000FF"/>
                <w:w w:val="89"/>
              </w:rPr>
              <w:t>36</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vMerge w:val="restart"/>
          </w:tcPr>
          <w:p>
            <w:pPr>
              <w:jc w:val="center"/>
              <w:ind w:right="2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9"/>
              </w:rPr>
              <w:t>1. On February 23, 2011, the Reporting Person received a restricted share award of 4,250 Common Shares which vest on January 1, 2014.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02/25/2011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T. Foy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31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2019-12-18T13:17:01Z</dcterms:created>
  <dcterms:modified xsi:type="dcterms:W3CDTF">2019-12-18T13:17:01Z</dcterms:modified>
</cp:coreProperties>
</file>