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05/07/2018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05/04/2018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right"/>
              <w:ind w:right="132"/>
              <w:spacing w:after="0"/>
              <w:rPr>
                <w:sz w:val="20"/>
                <w:szCs w:val="20"/>
                <w:color w:val="auto"/>
              </w:rPr>
            </w:pPr>
            <w:r>
              <w:rPr>
                <w:rFonts w:ascii="Arial" w:cs="Arial" w:eastAsia="Arial" w:hAnsi="Arial"/>
                <w:sz w:val="18"/>
                <w:szCs w:val="18"/>
                <w:color w:val="0000FF"/>
              </w:rPr>
              <w:t>50</w:t>
            </w:r>
          </w:p>
        </w:tc>
        <w:tc>
          <w:tcPr>
            <w:tcW w:w="480" w:type="dxa"/>
            <w:vAlign w:val="bottom"/>
          </w:tcPr>
          <w:p>
            <w:pPr>
              <w:ind w:left="34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17,446</w:t>
            </w:r>
          </w:p>
        </w:tc>
        <w:tc>
          <w:tcPr>
            <w:tcW w:w="940" w:type="dxa"/>
            <w:vAlign w:val="bottom"/>
          </w:tcPr>
          <w:p>
            <w:pPr>
              <w:jc w:val="center"/>
              <w:ind w:right="30"/>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05/07/2018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2,946</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0"/>
              </w:rPr>
              <w:t>14,500</w:t>
            </w:r>
          </w:p>
        </w:tc>
        <w:tc>
          <w:tcPr>
            <w:tcW w:w="940" w:type="dxa"/>
            <w:vAlign w:val="bottom"/>
            <w:tcBorders>
              <w:bottom w:val="single" w:sz="8" w:color="2C2C2C"/>
            </w:tcBorders>
          </w:tcPr>
          <w:p>
            <w:pPr>
              <w:jc w:val="center"/>
              <w:ind w:right="30"/>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4"/>
              </w:rPr>
              <w:t>5,800</w:t>
            </w:r>
          </w:p>
        </w:tc>
        <w:tc>
          <w:tcPr>
            <w:tcW w:w="940" w:type="dxa"/>
            <w:vAlign w:val="bottom"/>
          </w:tcPr>
          <w:p>
            <w:pPr>
              <w:jc w:val="center"/>
              <w:ind w:right="30"/>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restart"/>
          </w:tcPr>
          <w:p>
            <w:pPr>
              <w:jc w:val="center"/>
              <w:ind w:right="414"/>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center"/>
              <w:ind w:right="414"/>
              <w:spacing w:after="0"/>
              <w:rPr>
                <w:sz w:val="20"/>
                <w:szCs w:val="20"/>
                <w:color w:val="auto"/>
              </w:rPr>
            </w:pPr>
            <w:r>
              <w:rPr>
                <w:rFonts w:ascii="Arial" w:cs="Arial" w:eastAsia="Arial" w:hAnsi="Arial"/>
                <w:sz w:val="18"/>
                <w:szCs w:val="18"/>
                <w:color w:val="0000FF"/>
                <w:w w:val="86"/>
              </w:rPr>
              <w:t>545</w:t>
            </w:r>
          </w:p>
        </w:tc>
        <w:tc>
          <w:tcPr>
            <w:tcW w:w="940" w:type="dxa"/>
            <w:vAlign w:val="bottom"/>
          </w:tcPr>
          <w:p>
            <w:pPr>
              <w:jc w:val="center"/>
              <w:ind w:right="1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This report was filed before the calculation of the final tender offer proration factor. If proration results in a material change to the number of shares disposed of, this report will be amended accordingly.</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05/09/2018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constitutes and appoints each of Jennifer L. Pitts, Secretary, of White Mountains Insurance Group, Ltd., Jason R. Lichtenstein,</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2" w:name="page3"/>
    <w:bookmarkEnd w:id="2"/>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2019-12-24T09:12:38Z</dcterms:created>
  <dcterms:modified xsi:type="dcterms:W3CDTF">2019-12-24T09:12:38Z</dcterms:modified>
</cp:coreProperties>
</file>