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CHOKSI MARY 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05/21/2020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913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w:t>
      </w:r>
    </w:p>
    <w:p>
      <w:pPr>
        <w:spacing w:after="0" w:line="1" w:lineRule="exact"/>
        <w:rPr>
          <w:sz w:val="20"/>
          <w:szCs w:val="20"/>
          <w:color w:val="auto"/>
        </w:rPr>
      </w:pPr>
    </w:p>
    <w:p>
      <w:pPr>
        <w:ind w:right="4579"/>
        <w:spacing w:after="0" w:line="498" w:lineRule="auto"/>
        <w:rPr>
          <w:sz w:val="20"/>
          <w:szCs w:val="20"/>
          <w:color w:val="auto"/>
        </w:rPr>
      </w:pPr>
      <w:r>
        <w:rPr>
          <w:rFonts w:ascii="Courier New" w:cs="Courier New" w:eastAsia="Courier New" w:hAnsi="Courier New"/>
          <w:sz w:val="17"/>
          <w:szCs w:val="17"/>
          <w:color w:val="auto"/>
        </w:rPr>
        <w:t>Jason R. Lichtenstein, Managing Director &amp; Associate General Counsel, and Wesley Bell, Vice President &amp; Assistant General Counsel,signing singly,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27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Mary C. Choksi</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5706"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2020-05-22T15:04:43Z</dcterms:created>
  <dcterms:modified xsi:type="dcterms:W3CDTF">2020-05-22T15:04:43Z</dcterms:modified>
</cp:coreProperties>
</file>