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WATERS ALLAN LEWIS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180"/>
              <w:spacing w:after="0" w:line="188" w:lineRule="exact"/>
              <w:rPr>
                <w:sz w:val="20"/>
                <w:szCs w:val="20"/>
                <w:color w:val="auto"/>
              </w:rPr>
            </w:pPr>
            <w:r>
              <w:rPr>
                <w:rFonts w:ascii="Arial" w:cs="Arial" w:eastAsia="Arial" w:hAnsi="Arial"/>
                <w:sz w:val="18"/>
                <w:szCs w:val="18"/>
                <w:color w:val="0000FF"/>
              </w:rPr>
              <w:t>CEO - Sirius Int'l Ins. Group</w:t>
            </w: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11/19/2014</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2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5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8"/>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11/19/2014</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1,200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20"/>
              <w:spacing w:after="0"/>
              <w:rPr>
                <w:sz w:val="20"/>
                <w:szCs w:val="20"/>
                <w:color w:val="auto"/>
              </w:rPr>
            </w:pPr>
            <w:r>
              <w:rPr>
                <w:rFonts w:ascii="Arial" w:cs="Arial" w:eastAsia="Arial" w:hAnsi="Arial"/>
                <w:sz w:val="18"/>
                <w:szCs w:val="18"/>
                <w:color w:val="0000FF"/>
                <w:w w:val="88"/>
              </w:rPr>
              <w:t>4,020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1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0000FF"/>
                <w:w w:val="88"/>
              </w:rPr>
              <w:t>9,222</w:t>
            </w:r>
          </w:p>
        </w:tc>
        <w:tc>
          <w:tcPr>
            <w:tcW w:w="240" w:type="dxa"/>
            <w:vAlign w:val="bottom"/>
          </w:tcPr>
          <w:p>
            <w:pPr>
              <w:spacing w:after="0"/>
              <w:rPr>
                <w:sz w:val="23"/>
                <w:szCs w:val="23"/>
                <w:color w:val="auto"/>
              </w:rPr>
            </w:pPr>
          </w:p>
        </w:tc>
        <w:tc>
          <w:tcPr>
            <w:tcW w:w="680" w:type="dxa"/>
            <w:vAlign w:val="bottom"/>
          </w:tcPr>
          <w:p>
            <w:pPr>
              <w:jc w:val="center"/>
              <w:ind w:right="212"/>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0000FF"/>
                <w:w w:val="88"/>
              </w:rPr>
              <w:t>7,820</w:t>
            </w:r>
          </w:p>
        </w:tc>
        <w:tc>
          <w:tcPr>
            <w:tcW w:w="240" w:type="dxa"/>
            <w:vAlign w:val="bottom"/>
          </w:tcPr>
          <w:p>
            <w:pPr>
              <w:spacing w:after="0"/>
              <w:rPr>
                <w:sz w:val="18"/>
                <w:szCs w:val="18"/>
                <w:color w:val="auto"/>
              </w:rPr>
            </w:pPr>
          </w:p>
        </w:tc>
        <w:tc>
          <w:tcPr>
            <w:tcW w:w="680" w:type="dxa"/>
            <w:vAlign w:val="bottom"/>
          </w:tcPr>
          <w:p>
            <w:pPr>
              <w:jc w:val="center"/>
              <w:ind w:right="21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center"/>
              <w:ind w:right="440"/>
              <w:spacing w:after="0"/>
              <w:rPr>
                <w:sz w:val="20"/>
                <w:szCs w:val="20"/>
                <w:color w:val="auto"/>
              </w:rPr>
            </w:pPr>
            <w:r>
              <w:rPr>
                <w:rFonts w:ascii="Arial" w:cs="Arial" w:eastAsia="Arial" w:hAnsi="Arial"/>
                <w:sz w:val="18"/>
                <w:szCs w:val="18"/>
                <w:color w:val="0000FF"/>
                <w:w w:val="86"/>
              </w:rPr>
              <w:t>300</w:t>
            </w:r>
          </w:p>
        </w:tc>
        <w:tc>
          <w:tcPr>
            <w:tcW w:w="240" w:type="dxa"/>
            <w:vAlign w:val="bottom"/>
          </w:tcPr>
          <w:p>
            <w:pPr>
              <w:spacing w:after="0"/>
              <w:rPr>
                <w:sz w:val="23"/>
                <w:szCs w:val="23"/>
                <w:color w:val="auto"/>
              </w:rPr>
            </w:pPr>
          </w:p>
        </w:tc>
        <w:tc>
          <w:tcPr>
            <w:tcW w:w="680" w:type="dxa"/>
            <w:vAlign w:val="bottom"/>
          </w:tcPr>
          <w:p>
            <w:pPr>
              <w:jc w:val="center"/>
              <w:ind w:right="21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21"/>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5"/>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gridSpan w:val="14"/>
          </w:tcPr>
          <w:p>
            <w:pPr>
              <w:ind w:left="20"/>
              <w:spacing w:after="0"/>
              <w:rPr>
                <w:sz w:val="20"/>
                <w:szCs w:val="20"/>
                <w:color w:val="auto"/>
              </w:rPr>
            </w:pPr>
            <w:r>
              <w:rPr>
                <w:rFonts w:ascii="Arial" w:cs="Arial" w:eastAsia="Arial" w:hAnsi="Arial"/>
                <w:sz w:val="14"/>
                <w:szCs w:val="14"/>
                <w:color w:val="008000"/>
                <w:w w:val="87"/>
              </w:rPr>
              <w:t>1. On November 19, 2014, the Reporting Person received a restricted share award of 1,200 Common Shares, which vests on January 1, 2017.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0"/>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11/21/2014</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6"/>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6"/>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10"/>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14th day of October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Allan L. Waters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373"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2019-12-18T13:40:31Z</dcterms:created>
  <dcterms:modified xsi:type="dcterms:W3CDTF">2019-12-18T13:40:31Z</dcterms:modified>
</cp:coreProperties>
</file>