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Brouillette Yves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05/24/2012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05/24/2012</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417</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4,645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gridSpan w:val="19"/>
          </w:tcPr>
          <w:p>
            <w:pPr>
              <w:ind w:left="20"/>
              <w:spacing w:after="0"/>
              <w:rPr>
                <w:sz w:val="20"/>
                <w:szCs w:val="20"/>
                <w:color w:val="auto"/>
              </w:rPr>
            </w:pPr>
            <w:r>
              <w:rPr>
                <w:rFonts w:ascii="Arial" w:cs="Arial" w:eastAsia="Arial" w:hAnsi="Arial"/>
                <w:sz w:val="14"/>
                <w:szCs w:val="14"/>
                <w:color w:val="008000"/>
                <w:w w:val="91"/>
              </w:rPr>
              <w:t>1. Includes Annual Director Share Award (200) and Committee Retainer Fees elected by the Reporting Person to be taken in WTM Common Shares (217).</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05/29/2012</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9"/>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Yves Brouillette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040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2019-12-18T12:59:12Z</dcterms:created>
  <dcterms:modified xsi:type="dcterms:W3CDTF">2019-12-18T12:59:12Z</dcterms:modified>
</cp:coreProperties>
</file>