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SEELIG ROBERT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46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60" w:type="dxa"/>
            <w:vAlign w:val="bottom"/>
          </w:tcPr>
          <w:p>
            <w:pPr>
              <w:spacing w:after="0"/>
              <w:rPr>
                <w:sz w:val="5"/>
                <w:szCs w:val="5"/>
                <w:color w:val="auto"/>
              </w:rPr>
            </w:pPr>
          </w:p>
        </w:tc>
        <w:tc>
          <w:tcPr>
            <w:tcW w:w="2960" w:type="dxa"/>
            <w:vAlign w:val="bottom"/>
            <w:gridSpan w:val="2"/>
            <w:vMerge w:val="restart"/>
          </w:tcPr>
          <w:p>
            <w:pPr>
              <w:ind w:left="60"/>
              <w:spacing w:after="0"/>
              <w:rPr>
                <w:sz w:val="20"/>
                <w:szCs w:val="20"/>
                <w:color w:val="auto"/>
              </w:rPr>
            </w:pPr>
            <w:r>
              <w:rPr>
                <w:rFonts w:ascii="Arial" w:cs="Arial" w:eastAsia="Arial" w:hAnsi="Arial"/>
                <w:sz w:val="18"/>
                <w:szCs w:val="18"/>
                <w:color w:val="0000FF"/>
              </w:rPr>
              <w:t>Managing Dir &amp; General Counsel</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460" w:type="dxa"/>
            <w:vAlign w:val="bottom"/>
          </w:tcPr>
          <w:p>
            <w:pPr>
              <w:spacing w:after="0"/>
              <w:rPr>
                <w:sz w:val="16"/>
                <w:szCs w:val="16"/>
                <w:color w:val="auto"/>
              </w:rPr>
            </w:pPr>
          </w:p>
        </w:tc>
        <w:tc>
          <w:tcPr>
            <w:tcW w:w="2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01/01/2015</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01/01/2015</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1,058</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630.11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4,375</w:t>
            </w:r>
            <w:r>
              <w:rPr>
                <w:rFonts w:ascii="Arial" w:cs="Arial" w:eastAsia="Arial" w:hAnsi="Arial"/>
                <w:sz w:val="22"/>
                <w:szCs w:val="22"/>
                <w:color w:val="008000"/>
                <w:w w:val="82"/>
                <w:vertAlign w:val="superscript"/>
              </w:rPr>
              <w:t>(1)</w:t>
            </w:r>
          </w:p>
        </w:tc>
        <w:tc>
          <w:tcPr>
            <w:tcW w:w="940" w:type="dxa"/>
            <w:vAlign w:val="bottom"/>
            <w:tcBorders>
              <w:bottom w:val="single" w:sz="8" w:color="2C2C2C"/>
            </w:tcBorders>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13,462</w:t>
            </w:r>
            <w:r>
              <w:rPr>
                <w:rFonts w:ascii="Arial" w:cs="Arial" w:eastAsia="Arial" w:hAnsi="Arial"/>
                <w:sz w:val="22"/>
                <w:szCs w:val="22"/>
                <w:color w:val="008000"/>
                <w:w w:val="84"/>
                <w:vertAlign w:val="superscript"/>
              </w:rPr>
              <w:t>(1)</w:t>
            </w:r>
          </w:p>
        </w:tc>
        <w:tc>
          <w:tcPr>
            <w:tcW w:w="940" w:type="dxa"/>
            <w:vAlign w:val="bottom"/>
            <w:tcBorders>
              <w:bottom w:val="single" w:sz="8" w:color="2C2C2C"/>
            </w:tcBorders>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vMerge w:val="restart"/>
          </w:tcPr>
          <w:p>
            <w:pPr>
              <w:jc w:val="center"/>
              <w:ind w:right="374"/>
              <w:spacing w:after="0"/>
              <w:rPr>
                <w:sz w:val="20"/>
                <w:szCs w:val="20"/>
                <w:color w:val="auto"/>
              </w:rPr>
            </w:pPr>
            <w:r>
              <w:rPr>
                <w:rFonts w:ascii="Arial" w:cs="Arial" w:eastAsia="Arial" w:hAnsi="Arial"/>
                <w:sz w:val="18"/>
                <w:szCs w:val="18"/>
                <w:color w:val="0000FF"/>
                <w:w w:val="79"/>
              </w:rPr>
              <w:t>5</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and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3"/>
              </w:rPr>
              <w:t>dependent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74"/>
              <w:spacing w:after="0"/>
              <w:rPr>
                <w:sz w:val="20"/>
                <w:szCs w:val="20"/>
                <w:color w:val="auto"/>
              </w:rPr>
            </w:pPr>
            <w:r>
              <w:rPr>
                <w:rFonts w:ascii="Arial" w:cs="Arial" w:eastAsia="Arial" w:hAnsi="Arial"/>
                <w:sz w:val="18"/>
                <w:szCs w:val="18"/>
                <w:color w:val="0000FF"/>
                <w:w w:val="83"/>
              </w:rPr>
              <w:t>530</w:t>
            </w:r>
            <w:r>
              <w:rPr>
                <w:rFonts w:ascii="Arial" w:cs="Arial" w:eastAsia="Arial" w:hAnsi="Arial"/>
                <w:sz w:val="22"/>
                <w:szCs w:val="22"/>
                <w:color w:val="008000"/>
                <w:w w:val="83"/>
                <w:vertAlign w:val="superscript"/>
              </w:rPr>
              <w:t>(2)</w:t>
            </w:r>
          </w:p>
        </w:tc>
        <w:tc>
          <w:tcPr>
            <w:tcW w:w="940" w:type="dxa"/>
            <w:vAlign w:val="bottom"/>
            <w:tcBorders>
              <w:bottom w:val="single" w:sz="8" w:color="2C2C2C"/>
            </w:tcBorders>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By 401(k)</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178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8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January 1, 2015, 2,500 restricted WTM Common Shares became unrestricted. 1,058 of the Common Shares were withheld by the Company to satisfy the Reporting Person's tax obligations.</w:t>
      </w:r>
    </w:p>
    <w:p>
      <w:pPr>
        <w:spacing w:after="0" w:line="64" w:lineRule="exact"/>
        <w:rPr>
          <w:rFonts w:ascii="Arial" w:cs="Arial" w:eastAsia="Arial" w:hAnsi="Arial"/>
          <w:sz w:val="12"/>
          <w:szCs w:val="12"/>
          <w:color w:val="008000"/>
        </w:rPr>
      </w:pPr>
    </w:p>
    <w:p>
      <w:pPr>
        <w:ind w:left="40" w:right="5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accumulation of 6 WTM Common Shares in Reporting Person's Company 401(k) account since his last filed report. WTM Common Shares are purchased at fair market value on the date of purchase. The information in this report is based on a plan statement dated as of December 31, 2014.</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01/01/2015</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L. Seelig</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2019-12-24T06:52:13Z</dcterms:created>
  <dcterms:modified xsi:type="dcterms:W3CDTF">2019-12-24T06:52:13Z</dcterms:modified>
</cp:coreProperties>
</file>