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077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775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Frinquelli Angelo Michael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05/24/2007</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100</w:t>
            </w:r>
          </w:p>
        </w:tc>
        <w:tc>
          <w:tcPr>
            <w:tcW w:w="960" w:type="dxa"/>
            <w:vAlign w:val="bottom"/>
          </w:tcPr>
          <w:p>
            <w:pPr>
              <w:ind w:left="440"/>
              <w:spacing w:after="0"/>
              <w:rPr>
                <w:sz w:val="20"/>
                <w:szCs w:val="20"/>
                <w:color w:val="auto"/>
              </w:rPr>
            </w:pPr>
            <w:r>
              <w:rPr>
                <w:rFonts w:ascii="Arial" w:cs="Arial" w:eastAsia="Arial" w:hAnsi="Arial"/>
                <w:sz w:val="17"/>
                <w:szCs w:val="17"/>
                <w:color w:val="0000FF"/>
              </w:rPr>
              <w:t>D</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w w:val="91"/>
              </w:rPr>
              <w:t>Renaissance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300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Fund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rPr>
              <w:t>Advisors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Inc.</w:t>
            </w:r>
            <w:r>
              <w:rPr>
                <w:rFonts w:ascii="Arial" w:cs="Arial" w:eastAsia="Arial" w:hAnsi="Arial"/>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2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2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jc w:val="right"/>
              <w:ind w:right="179"/>
              <w:spacing w:after="0"/>
              <w:rPr>
                <w:sz w:val="20"/>
                <w:szCs w:val="20"/>
                <w:color w:val="auto"/>
              </w:rPr>
            </w:pPr>
            <w:r>
              <w:rPr>
                <w:rFonts w:ascii="Arial" w:cs="Arial" w:eastAsia="Arial" w:hAnsi="Arial"/>
                <w:sz w:val="13"/>
                <w:szCs w:val="13"/>
                <w:color w:val="0000FF"/>
              </w:rPr>
              <w:t>05/24/2007</w:t>
            </w:r>
          </w:p>
        </w:tc>
        <w:tc>
          <w:tcPr>
            <w:tcW w:w="1120" w:type="dxa"/>
            <w:vAlign w:val="bottom"/>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00"/>
              <w:spacing w:after="0"/>
              <w:rPr>
                <w:sz w:val="20"/>
                <w:szCs w:val="20"/>
                <w:color w:val="auto"/>
              </w:rPr>
            </w:pPr>
            <w:r>
              <w:rPr>
                <w:rFonts w:ascii="Arial" w:cs="Arial" w:eastAsia="Arial" w:hAnsi="Arial"/>
                <w:sz w:val="13"/>
                <w:szCs w:val="13"/>
                <w:color w:val="0000FF"/>
              </w:rPr>
              <w:t>100</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222"/>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380"/>
              <w:spacing w:after="0"/>
              <w:rPr>
                <w:sz w:val="20"/>
                <w:szCs w:val="20"/>
                <w:color w:val="auto"/>
              </w:rPr>
            </w:pPr>
            <w:r>
              <w:rPr>
                <w:rFonts w:ascii="Arial" w:cs="Arial" w:eastAsia="Arial" w:hAnsi="Arial"/>
                <w:sz w:val="13"/>
                <w:szCs w:val="13"/>
                <w:color w:val="0000FF"/>
              </w:rPr>
              <w:t>100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8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is the sole shareholder of Renaissance Fund Advisors Inc.</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6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WTM deferred compensation account and are payable in cash upon the earlier of the date when the Reporting Person ceases to be a director of the Company or a date certain selected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05/29/2007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19"/>
        <w:spacing w:after="0" w:line="248"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2019-12-18T13:08:52Z</dcterms:created>
  <dcterms:modified xsi:type="dcterms:W3CDTF">2019-12-18T13:08:52Z</dcterms:modified>
</cp:coreProperties>
</file>