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02/27/2020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02/27/2020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1,800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8"/>
              </w:rPr>
              <w:t>5,800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2"/>
              <w:spacing w:after="0"/>
              <w:rPr>
                <w:sz w:val="20"/>
                <w:szCs w:val="20"/>
                <w:color w:val="auto"/>
              </w:rPr>
            </w:pPr>
            <w:r>
              <w:rPr>
                <w:rFonts w:ascii="Arial" w:cs="Arial" w:eastAsia="Arial" w:hAnsi="Arial"/>
                <w:sz w:val="18"/>
                <w:szCs w:val="18"/>
                <w:color w:val="0000FF"/>
                <w:w w:val="87"/>
              </w:rPr>
              <w:t>10,865</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32"/>
              <w:spacing w:after="0"/>
              <w:rPr>
                <w:sz w:val="20"/>
                <w:szCs w:val="20"/>
                <w:color w:val="auto"/>
              </w:rPr>
            </w:pPr>
            <w:r>
              <w:rPr>
                <w:rFonts w:ascii="Arial" w:cs="Arial" w:eastAsia="Arial" w:hAnsi="Arial"/>
                <w:sz w:val="18"/>
                <w:szCs w:val="18"/>
                <w:color w:val="0000FF"/>
                <w:w w:val="86"/>
              </w:rPr>
              <w:t>100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On February 27, 2020, the Reporting Person received a restricted share award of 1,800 Common Shares, which vests on January 1, 2023.</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420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4206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03/02/2020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420" w:val="left"/>
          <w:tab w:leader="none" w:pos="2940" w:val="left"/>
        </w:tabs>
        <w:rPr>
          <w:sz w:val="20"/>
          <w:szCs w:val="20"/>
          <w:color w:val="auto"/>
        </w:rPr>
      </w:pPr>
      <w:r>
        <w:rPr>
          <w:rFonts w:ascii="Courier New" w:cs="Courier New" w:eastAsia="Courier New" w:hAnsi="Courier New"/>
          <w:sz w:val="18"/>
          <w:szCs w:val="18"/>
          <w:color w:val="auto"/>
        </w:rPr>
        <w:t>Date: May 24,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Reid T. Campbell</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2020-03-02T15:30:36Z</dcterms:created>
  <dcterms:modified xsi:type="dcterms:W3CDTF">2020-03-02T15:30:36Z</dcterms:modified>
</cp:coreProperties>
</file>