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02/25/2016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02/25/2016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2"/>
              </w:rPr>
              <w:t>2,000</w:t>
            </w:r>
            <w:r>
              <w:rPr>
                <w:rFonts w:ascii="Arial" w:cs="Arial" w:eastAsia="Arial" w:hAnsi="Arial"/>
                <w:sz w:val="22"/>
                <w:szCs w:val="22"/>
                <w:color w:val="008000"/>
                <w:w w:val="82"/>
                <w:vertAlign w:val="superscript"/>
              </w:rPr>
              <w:t>(1)</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tcBorders>
              <w:bottom w:val="single" w:sz="8" w:color="2C2C2C"/>
            </w:tcBorders>
            <w:gridSpan w:val="3"/>
          </w:tcPr>
          <w:p>
            <w:pPr>
              <w:jc w:val="center"/>
              <w:ind w:left="68"/>
              <w:spacing w:after="0"/>
              <w:rPr>
                <w:sz w:val="20"/>
                <w:szCs w:val="20"/>
                <w:color w:val="auto"/>
              </w:rPr>
            </w:pPr>
            <w:r>
              <w:rPr>
                <w:rFonts w:ascii="Arial" w:cs="Arial" w:eastAsia="Arial" w:hAnsi="Arial"/>
                <w:sz w:val="18"/>
                <w:szCs w:val="18"/>
                <w:color w:val="0000FF"/>
                <w:w w:val="84"/>
              </w:rPr>
              <w:t>6,625</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gridSpan w:val="3"/>
          </w:tcPr>
          <w:p>
            <w:pPr>
              <w:jc w:val="center"/>
              <w:ind w:left="68"/>
              <w:spacing w:after="0"/>
              <w:rPr>
                <w:sz w:val="20"/>
                <w:szCs w:val="20"/>
                <w:color w:val="auto"/>
              </w:rPr>
            </w:pPr>
            <w:r>
              <w:rPr>
                <w:rFonts w:ascii="Arial" w:cs="Arial" w:eastAsia="Arial" w:hAnsi="Arial"/>
                <w:sz w:val="18"/>
                <w:szCs w:val="18"/>
                <w:color w:val="0000FF"/>
                <w:w w:val="90"/>
              </w:rPr>
              <w:t>14,760</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vMerge w:val="restart"/>
          </w:tcPr>
          <w:p>
            <w:pPr>
              <w:jc w:val="center"/>
              <w:ind w:right="497"/>
              <w:spacing w:after="0"/>
              <w:rPr>
                <w:sz w:val="20"/>
                <w:szCs w:val="20"/>
                <w:color w:val="auto"/>
              </w:rPr>
            </w:pPr>
            <w:r>
              <w:rPr>
                <w:rFonts w:ascii="Arial" w:cs="Arial" w:eastAsia="Arial" w:hAnsi="Arial"/>
                <w:sz w:val="18"/>
                <w:szCs w:val="18"/>
                <w:color w:val="0000FF"/>
                <w:w w:val="9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jc w:val="center"/>
              <w:ind w:left="68"/>
              <w:spacing w:after="0"/>
              <w:rPr>
                <w:sz w:val="20"/>
                <w:szCs w:val="20"/>
                <w:color w:val="auto"/>
              </w:rPr>
            </w:pPr>
            <w:r>
              <w:rPr>
                <w:rFonts w:ascii="Arial" w:cs="Arial" w:eastAsia="Arial" w:hAnsi="Arial"/>
                <w:sz w:val="18"/>
                <w:szCs w:val="18"/>
                <w:color w:val="0000FF"/>
                <w:w w:val="79"/>
              </w:rPr>
              <w:t>540</w:t>
            </w:r>
            <w:r>
              <w:rPr>
                <w:rFonts w:ascii="Arial" w:cs="Arial" w:eastAsia="Arial" w:hAnsi="Arial"/>
                <w:sz w:val="22"/>
                <w:szCs w:val="22"/>
                <w:color w:val="008000"/>
                <w:w w:val="79"/>
                <w:vertAlign w:val="superscript"/>
              </w:rPr>
              <w:t>(2)</w:t>
            </w:r>
          </w:p>
        </w:tc>
        <w:tc>
          <w:tcPr>
            <w:tcW w:w="940" w:type="dxa"/>
            <w:vAlign w:val="bottom"/>
            <w:tcBorders>
              <w:bottom w:val="single" w:sz="8" w:color="2C2C2C"/>
            </w:tcBorders>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25, 2016, the Reporting Person received a restricted share award of 2,000 Common Shares, which vests on January 1, 2019.</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Reporting Person's last filing, he acquired 4 shares of WTM Common Shares under the company 401(k) plan. WTM Common Shares are purchased at fair market value on the date of purchase. The information in this report is based on a plan statement dated as of February 25, 2016.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02/29/2016</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2019-12-24T06:39:34Z</dcterms:created>
  <dcterms:modified xsi:type="dcterms:W3CDTF">2019-12-24T06:39:34Z</dcterms:modified>
</cp:coreProperties>
</file>