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04/23/2019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04/23/2019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center"/>
              <w:spacing w:after="0" w:line="216" w:lineRule="exact"/>
              <w:rPr>
                <w:sz w:val="20"/>
                <w:szCs w:val="20"/>
                <w:color w:val="auto"/>
              </w:rPr>
            </w:pPr>
            <w:r>
              <w:rPr>
                <w:rFonts w:ascii="Arial" w:cs="Arial" w:eastAsia="Arial" w:hAnsi="Arial"/>
                <w:sz w:val="25"/>
                <w:szCs w:val="25"/>
                <w:color w:val="0000FF"/>
                <w:vertAlign w:val="subscript"/>
              </w:rPr>
              <w:t>696</w:t>
            </w:r>
            <w:r>
              <w:rPr>
                <w:rFonts w:ascii="Arial" w:cs="Arial" w:eastAsia="Arial" w:hAnsi="Arial"/>
                <w:sz w:val="10"/>
                <w:szCs w:val="10"/>
                <w:color w:val="008000"/>
              </w:rPr>
              <w:t>(1)</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910.11</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3,554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04/25/2019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57"/>
              <w:spacing w:after="0"/>
              <w:rPr>
                <w:sz w:val="20"/>
                <w:szCs w:val="20"/>
                <w:color w:val="auto"/>
              </w:rPr>
            </w:pPr>
            <w:r>
              <w:rPr>
                <w:rFonts w:ascii="Arial" w:cs="Arial" w:eastAsia="Arial" w:hAnsi="Arial"/>
                <w:sz w:val="18"/>
                <w:szCs w:val="18"/>
                <w:color w:val="0000FF"/>
              </w:rPr>
              <w:t>554</w:t>
            </w:r>
          </w:p>
        </w:tc>
        <w:tc>
          <w:tcPr>
            <w:tcW w:w="720" w:type="dxa"/>
            <w:vAlign w:val="bottom"/>
          </w:tcPr>
          <w:p>
            <w:pPr>
              <w:ind w:left="360"/>
              <w:spacing w:after="0"/>
              <w:rPr>
                <w:sz w:val="20"/>
                <w:szCs w:val="20"/>
                <w:color w:val="auto"/>
              </w:rPr>
            </w:pPr>
            <w:r>
              <w:rPr>
                <w:rFonts w:ascii="Arial" w:cs="Arial" w:eastAsia="Arial" w:hAnsi="Arial"/>
                <w:sz w:val="18"/>
                <w:szCs w:val="18"/>
                <w:color w:val="0000FF"/>
              </w:rPr>
              <w:t>D</w:t>
            </w:r>
          </w:p>
        </w:tc>
        <w:tc>
          <w:tcPr>
            <w:tcW w:w="68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928.4</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3,000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sales reported in this Form 4 were effected pursuant to a Rule 10b5-1 trading plan adopted by the Davis Family Trust on March 6, 2019.</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04/25/2019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2019-12-24T09:19:29Z</dcterms:created>
  <dcterms:modified xsi:type="dcterms:W3CDTF">2019-12-24T09:19:29Z</dcterms:modified>
</cp:coreProperties>
</file>