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2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202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67"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EVP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06/24/2019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67"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540" w:type="dxa"/>
            <w:vAlign w:val="bottom"/>
            <w:gridSpan w:val="2"/>
          </w:tcPr>
          <w:p>
            <w:pPr>
              <w:jc w:val="right"/>
              <w:ind w:right="159"/>
              <w:spacing w:after="0"/>
              <w:rPr>
                <w:sz w:val="20"/>
                <w:szCs w:val="20"/>
                <w:color w:val="auto"/>
              </w:rPr>
            </w:pPr>
            <w:r>
              <w:rPr>
                <w:rFonts w:ascii="Arial" w:cs="Arial" w:eastAsia="Arial" w:hAnsi="Arial"/>
                <w:sz w:val="18"/>
                <w:szCs w:val="18"/>
                <w:color w:val="0000FF"/>
              </w:rPr>
              <w:t>06/24/2019</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40" w:type="dxa"/>
            <w:vAlign w:val="bottom"/>
          </w:tcPr>
          <w:p>
            <w:pPr>
              <w:jc w:val="center"/>
              <w:spacing w:after="0"/>
              <w:rPr>
                <w:sz w:val="20"/>
                <w:szCs w:val="20"/>
                <w:color w:val="auto"/>
              </w:rPr>
            </w:pPr>
            <w:r>
              <w:rPr>
                <w:rFonts w:ascii="Arial" w:cs="Arial" w:eastAsia="Arial" w:hAnsi="Arial"/>
                <w:sz w:val="18"/>
                <w:szCs w:val="18"/>
                <w:color w:val="0000FF"/>
                <w:w w:val="86"/>
              </w:rPr>
              <w:t>160</w:t>
            </w:r>
          </w:p>
        </w:tc>
        <w:tc>
          <w:tcPr>
            <w:tcW w:w="500" w:type="dxa"/>
            <w:vAlign w:val="bottom"/>
          </w:tcPr>
          <w:p>
            <w:pPr>
              <w:ind w:left="140"/>
              <w:spacing w:after="0"/>
              <w:rPr>
                <w:sz w:val="20"/>
                <w:szCs w:val="20"/>
                <w:color w:val="auto"/>
              </w:rPr>
            </w:pPr>
            <w:r>
              <w:rPr>
                <w:rFonts w:ascii="Arial" w:cs="Arial" w:eastAsia="Arial" w:hAnsi="Arial"/>
                <w:sz w:val="18"/>
                <w:szCs w:val="18"/>
                <w:color w:val="0000FF"/>
              </w:rPr>
              <w:t>D</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1,039.5</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7"/>
              </w:rPr>
              <w:t>12,363</w:t>
            </w:r>
          </w:p>
        </w:tc>
        <w:tc>
          <w:tcPr>
            <w:tcW w:w="940" w:type="dxa"/>
            <w:vAlign w:val="bottom"/>
          </w:tcPr>
          <w:p>
            <w:pPr>
              <w:jc w:val="center"/>
              <w:ind w:right="7"/>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06/24/2019</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657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1,046.93</w:t>
            </w:r>
            <w:r>
              <w:rPr>
                <w:rFonts w:ascii="Arial" w:cs="Arial" w:eastAsia="Arial" w:hAnsi="Arial"/>
                <w:sz w:val="22"/>
                <w:szCs w:val="22"/>
                <w:color w:val="008000"/>
                <w:w w:val="85"/>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11,706</w:t>
            </w:r>
          </w:p>
        </w:tc>
        <w:tc>
          <w:tcPr>
            <w:tcW w:w="94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06/24/2019</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70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1,048.14</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11,636</w:t>
            </w:r>
          </w:p>
        </w:tc>
        <w:tc>
          <w:tcPr>
            <w:tcW w:w="94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06/24/2019</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103</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1,049</w:t>
            </w:r>
            <w:r>
              <w:rPr>
                <w:rFonts w:ascii="Arial" w:cs="Arial" w:eastAsia="Arial" w:hAnsi="Arial"/>
                <w:sz w:val="22"/>
                <w:szCs w:val="22"/>
                <w:color w:val="008000"/>
                <w:w w:val="84"/>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11,533</w:t>
            </w:r>
          </w:p>
        </w:tc>
        <w:tc>
          <w:tcPr>
            <w:tcW w:w="94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540" w:type="dxa"/>
            <w:vAlign w:val="bottom"/>
            <w:gridSpan w:val="2"/>
          </w:tcPr>
          <w:p>
            <w:pPr>
              <w:jc w:val="right"/>
              <w:ind w:right="159"/>
              <w:spacing w:after="0"/>
              <w:rPr>
                <w:sz w:val="20"/>
                <w:szCs w:val="20"/>
                <w:color w:val="auto"/>
              </w:rPr>
            </w:pPr>
            <w:r>
              <w:rPr>
                <w:rFonts w:ascii="Arial" w:cs="Arial" w:eastAsia="Arial" w:hAnsi="Arial"/>
                <w:sz w:val="18"/>
                <w:szCs w:val="18"/>
                <w:color w:val="0000FF"/>
              </w:rPr>
              <w:t>06/24/2019</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40" w:type="dxa"/>
            <w:vAlign w:val="bottom"/>
          </w:tcPr>
          <w:p>
            <w:pPr>
              <w:jc w:val="center"/>
              <w:spacing w:after="0"/>
              <w:rPr>
                <w:sz w:val="20"/>
                <w:szCs w:val="20"/>
                <w:color w:val="auto"/>
              </w:rPr>
            </w:pPr>
            <w:r>
              <w:rPr>
                <w:rFonts w:ascii="Arial" w:cs="Arial" w:eastAsia="Arial" w:hAnsi="Arial"/>
                <w:sz w:val="18"/>
                <w:szCs w:val="18"/>
                <w:color w:val="0000FF"/>
                <w:w w:val="79"/>
              </w:rPr>
              <w:t>10</w:t>
            </w:r>
          </w:p>
        </w:tc>
        <w:tc>
          <w:tcPr>
            <w:tcW w:w="500" w:type="dxa"/>
            <w:vAlign w:val="bottom"/>
          </w:tcPr>
          <w:p>
            <w:pPr>
              <w:ind w:left="140"/>
              <w:spacing w:after="0"/>
              <w:rPr>
                <w:sz w:val="20"/>
                <w:szCs w:val="20"/>
                <w:color w:val="auto"/>
              </w:rPr>
            </w:pPr>
            <w:r>
              <w:rPr>
                <w:rFonts w:ascii="Arial" w:cs="Arial" w:eastAsia="Arial" w:hAnsi="Arial"/>
                <w:sz w:val="18"/>
                <w:szCs w:val="18"/>
                <w:color w:val="0000FF"/>
              </w:rPr>
              <w:t>D</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1,052.31</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7"/>
              </w:rPr>
              <w:t>11,523</w:t>
            </w:r>
          </w:p>
        </w:tc>
        <w:tc>
          <w:tcPr>
            <w:tcW w:w="940" w:type="dxa"/>
            <w:vAlign w:val="bottom"/>
          </w:tcPr>
          <w:p>
            <w:pPr>
              <w:jc w:val="center"/>
              <w:ind w:right="7"/>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center"/>
              <w:ind w:right="332"/>
              <w:spacing w:after="0"/>
              <w:rPr>
                <w:sz w:val="20"/>
                <w:szCs w:val="20"/>
                <w:color w:val="auto"/>
              </w:rPr>
            </w:pPr>
            <w:r>
              <w:rPr>
                <w:rFonts w:ascii="Arial" w:cs="Arial" w:eastAsia="Arial" w:hAnsi="Arial"/>
                <w:sz w:val="18"/>
                <w:szCs w:val="18"/>
                <w:color w:val="0000FF"/>
                <w:w w:val="88"/>
              </w:rPr>
              <w:t>4,800</w:t>
            </w:r>
          </w:p>
        </w:tc>
        <w:tc>
          <w:tcPr>
            <w:tcW w:w="940" w:type="dxa"/>
            <w:vAlign w:val="bottom"/>
          </w:tcPr>
          <w:p>
            <w:pPr>
              <w:jc w:val="center"/>
              <w:ind w:right="7"/>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vMerge w:val="restart"/>
          </w:tcPr>
          <w:p>
            <w:pPr>
              <w:jc w:val="center"/>
              <w:ind w:right="332"/>
              <w:spacing w:after="0"/>
              <w:rPr>
                <w:sz w:val="20"/>
                <w:szCs w:val="20"/>
                <w:color w:val="auto"/>
              </w:rPr>
            </w:pPr>
            <w:r>
              <w:rPr>
                <w:rFonts w:ascii="Arial" w:cs="Arial" w:eastAsia="Arial" w:hAnsi="Arial"/>
                <w:sz w:val="18"/>
                <w:szCs w:val="18"/>
                <w:color w:val="0000FF"/>
                <w:w w:val="79"/>
              </w:rPr>
              <w:t>5</w:t>
            </w:r>
          </w:p>
        </w:tc>
        <w:tc>
          <w:tcPr>
            <w:tcW w:w="940" w:type="dxa"/>
            <w:vAlign w:val="bottom"/>
            <w:vMerge w:val="restart"/>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3"/>
              </w:rPr>
              <w:t>560</w:t>
            </w:r>
            <w:r>
              <w:rPr>
                <w:rFonts w:ascii="Arial" w:cs="Arial" w:eastAsia="Arial" w:hAnsi="Arial"/>
                <w:sz w:val="22"/>
                <w:szCs w:val="22"/>
                <w:color w:val="008000"/>
                <w:w w:val="83"/>
                <w:vertAlign w:val="superscript"/>
              </w:rPr>
              <w:t>(4)</w:t>
            </w:r>
          </w:p>
        </w:tc>
        <w:tc>
          <w:tcPr>
            <w:tcW w:w="94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rPr>
              <w:t>I</w:t>
            </w: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79"/>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$1046.50 to $1047.40, inclusive. The reporting person undertakes to provide to White Mountains Insurance Group, Ltd., any security holder thereof or the staff of the Securities and Exchange Commission, upon request, full information regarding the number of shares sold at each separate price within the ranges set forth in footnotes (1) through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$1047.50 to $1048.45,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$1048.54 to $1049.01,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accumulation of 5 Common Shares in Reporting Person's Company 401(k) account since his last report. The information in this report is based on a plan report dated as of June 26, 2019.</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06/26/2019</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67"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2019-12-24T09:12:43Z</dcterms:created>
  <dcterms:modified xsi:type="dcterms:W3CDTF">2019-12-24T09:12:43Z</dcterms:modified>
</cp:coreProperties>
</file>